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57320F2C" w:rsidR="00EC700A" w:rsidRDefault="00A61E71" w:rsidP="007674FF">
      <w:bookmarkStart w:id="0" w:name="_GoBack"/>
      <w:bookmarkEnd w:id="0"/>
      <w:r>
        <w:t xml:space="preserve">                                                                  </w:t>
      </w:r>
      <w:r w:rsidR="00BF29B2">
        <w:t>Summary</w:t>
      </w:r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FF6EF58" w:rsidR="00763FE9" w:rsidRPr="004873C7" w:rsidRDefault="00763FE9" w:rsidP="00F43A42">
      <w:pPr>
        <w:pStyle w:val="Heading1"/>
        <w:jc w:val="center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0E01BA">
        <w:rPr>
          <w:color w:val="3AA9E3" w:themeColor="accent2"/>
          <w:sz w:val="40"/>
        </w:rPr>
        <w:t>West Manor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1CA33F4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AD528F">
        <w:rPr>
          <w:rStyle w:val="Strong"/>
          <w:sz w:val="22"/>
          <w:szCs w:val="22"/>
        </w:rPr>
        <w:t>May 9</w:t>
      </w:r>
      <w:r w:rsidR="00A61E71">
        <w:rPr>
          <w:rStyle w:val="Strong"/>
          <w:sz w:val="22"/>
          <w:szCs w:val="22"/>
        </w:rPr>
        <w:t>, 2017</w:t>
      </w:r>
    </w:p>
    <w:p w14:paraId="7E277FFB" w14:textId="4C14ADAB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A61E71">
        <w:rPr>
          <w:rStyle w:val="Strong"/>
        </w:rPr>
        <w:t>5</w:t>
      </w:r>
      <w:r w:rsidR="000E01BA">
        <w:rPr>
          <w:rStyle w:val="Strong"/>
        </w:rPr>
        <w:t>:00 p.m.</w:t>
      </w:r>
    </w:p>
    <w:p w14:paraId="774A5F6F" w14:textId="719AAB4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E01BA">
        <w:rPr>
          <w:rStyle w:val="Strong"/>
        </w:rPr>
        <w:t>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6505468B" w:rsidR="00A12B40" w:rsidRDefault="00F43A42">
                            <w:r>
                              <w:t>Meeting was called to order at</w:t>
                            </w:r>
                            <w:r w:rsidR="00A61E71">
                              <w:t xml:space="preserve"> 5</w:t>
                            </w:r>
                            <w:r w:rsidR="000924A9">
                              <w:t>:0</w:t>
                            </w:r>
                            <w:r w:rsidR="009F3D60">
                              <w:t>7</w:t>
                            </w:r>
                            <w:r w:rsidR="000E01BA">
                              <w:t xml:space="preserve">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6505468B" w:rsidR="00A12B40" w:rsidRDefault="00F43A42">
                      <w:r>
                        <w:t>Meeting was called to order at</w:t>
                      </w:r>
                      <w:r w:rsidR="00A61E71">
                        <w:t xml:space="preserve"> 5</w:t>
                      </w:r>
                      <w:r w:rsidR="000924A9">
                        <w:t>:0</w:t>
                      </w:r>
                      <w:r w:rsidR="009F3D60">
                        <w:t>7</w:t>
                      </w:r>
                      <w:r w:rsidR="000E01BA">
                        <w:t xml:space="preserve">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4A25A885" w:rsidR="00A12B40" w:rsidRDefault="00A12B40">
                            <w:r>
                              <w:t>Members Present:</w:t>
                            </w:r>
                            <w:r w:rsidR="007D62FF">
                              <w:t xml:space="preserve"> Lanika Dancy, Vanessa Lawrence,</w:t>
                            </w:r>
                            <w:r w:rsidR="007467AC">
                              <w:t xml:space="preserve"> Jamesa Hodge, Kimberly Wilder</w:t>
                            </w:r>
                            <w:r w:rsidR="007D62FF">
                              <w:t>,</w:t>
                            </w:r>
                            <w:r w:rsidR="007467AC">
                              <w:t xml:space="preserve"> </w:t>
                            </w:r>
                            <w:r w:rsidR="00A61E71">
                              <w:t xml:space="preserve">Kimberly Riley </w:t>
                            </w:r>
                            <w:r w:rsidR="007467AC">
                              <w:t>and</w:t>
                            </w:r>
                            <w:r w:rsidR="007D62FF">
                              <w:t xml:space="preserve"> Walter Mobley</w:t>
                            </w:r>
                          </w:p>
                          <w:p w14:paraId="3E3D623D" w14:textId="21BEC7B1" w:rsidR="00A12B40" w:rsidRDefault="00A12B40">
                            <w:r>
                              <w:t>Members Absent:</w:t>
                            </w:r>
                            <w:r w:rsidR="009C21FA" w:rsidRPr="009C21FA">
                              <w:t xml:space="preserve"> </w:t>
                            </w:r>
                            <w:r w:rsidR="009C21FA">
                              <w:t>Tia Herrington and Veronica Daniels</w:t>
                            </w:r>
                            <w:r w:rsidR="007467AC">
                              <w:t xml:space="preserve"> </w:t>
                            </w:r>
                          </w:p>
                          <w:p w14:paraId="31B4D328" w14:textId="367CDF81" w:rsidR="00A12B40" w:rsidRDefault="00A12B40">
                            <w:r>
                              <w:t>Additional Attendees:</w:t>
                            </w:r>
                            <w:r w:rsidR="002F333D">
                              <w:t xml:space="preserve"> </w:t>
                            </w:r>
                          </w:p>
                          <w:p w14:paraId="024C5061" w14:textId="44B44EBD" w:rsidR="00023D7D" w:rsidRDefault="00023D7D">
                            <w:r>
                              <w:t xml:space="preserve">Previous Minutes Approved: </w:t>
                            </w:r>
                            <w:r w:rsidRPr="0018414C">
                              <w:rPr>
                                <w:highlight w:val="yellow"/>
                              </w:rPr>
                              <w:t>Yes</w:t>
                            </w:r>
                            <w:r>
                              <w:t xml:space="preserve"> or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4A25A885" w:rsidR="00A12B40" w:rsidRDefault="00A12B40">
                      <w:r>
                        <w:t>Members Present:</w:t>
                      </w:r>
                      <w:r w:rsidR="007D62FF">
                        <w:t xml:space="preserve"> </w:t>
                      </w:r>
                      <w:proofErr w:type="spellStart"/>
                      <w:r w:rsidR="007D62FF">
                        <w:t>Lanika</w:t>
                      </w:r>
                      <w:proofErr w:type="spellEnd"/>
                      <w:r w:rsidR="007D62FF">
                        <w:t xml:space="preserve"> </w:t>
                      </w:r>
                      <w:proofErr w:type="spellStart"/>
                      <w:r w:rsidR="007D62FF">
                        <w:t>Dancy</w:t>
                      </w:r>
                      <w:proofErr w:type="spellEnd"/>
                      <w:r w:rsidR="007D62FF">
                        <w:t>, Vanessa Lawrence,</w:t>
                      </w:r>
                      <w:r w:rsidR="007467AC">
                        <w:t xml:space="preserve"> </w:t>
                      </w:r>
                      <w:proofErr w:type="spellStart"/>
                      <w:r w:rsidR="007467AC">
                        <w:t>Jamesa</w:t>
                      </w:r>
                      <w:proofErr w:type="spellEnd"/>
                      <w:r w:rsidR="007467AC">
                        <w:t xml:space="preserve"> Hodge, Kimberly Wilder</w:t>
                      </w:r>
                      <w:r w:rsidR="007D62FF">
                        <w:t>,</w:t>
                      </w:r>
                      <w:r w:rsidR="007467AC">
                        <w:t xml:space="preserve"> </w:t>
                      </w:r>
                      <w:r w:rsidR="00A61E71">
                        <w:t xml:space="preserve">Kimberly Riley </w:t>
                      </w:r>
                      <w:r w:rsidR="007467AC">
                        <w:t>and</w:t>
                      </w:r>
                      <w:r w:rsidR="007D62FF">
                        <w:t xml:space="preserve"> Walter Mobley</w:t>
                      </w:r>
                    </w:p>
                    <w:p w14:paraId="3E3D623D" w14:textId="21BEC7B1" w:rsidR="00A12B40" w:rsidRDefault="00A12B40">
                      <w:r>
                        <w:t>Members Absent:</w:t>
                      </w:r>
                      <w:r w:rsidR="009C21FA" w:rsidRPr="009C21FA">
                        <w:t xml:space="preserve"> </w:t>
                      </w:r>
                      <w:r w:rsidR="009C21FA">
                        <w:t>Tia Herrington</w:t>
                      </w:r>
                      <w:r w:rsidR="009C21FA">
                        <w:t xml:space="preserve"> and Veronica Daniels</w:t>
                      </w:r>
                      <w:r w:rsidR="007467AC">
                        <w:t xml:space="preserve"> </w:t>
                      </w:r>
                    </w:p>
                    <w:p w14:paraId="31B4D328" w14:textId="367CDF81" w:rsidR="00A12B40" w:rsidRDefault="00A12B40">
                      <w:r>
                        <w:t>Additional Attendees:</w:t>
                      </w:r>
                      <w:r w:rsidR="002F333D">
                        <w:t xml:space="preserve"> </w:t>
                      </w:r>
                    </w:p>
                    <w:p w14:paraId="024C5061" w14:textId="44B44EBD" w:rsidR="00023D7D" w:rsidRDefault="00023D7D">
                      <w:r>
                        <w:t xml:space="preserve">Previous Minutes Approved: </w:t>
                      </w:r>
                      <w:r w:rsidRPr="0018414C">
                        <w:rPr>
                          <w:highlight w:val="yellow"/>
                        </w:rPr>
                        <w:t>Yes</w:t>
                      </w:r>
                      <w:r>
                        <w:t xml:space="preserve"> or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5474"/>
        <w:gridCol w:w="1613"/>
      </w:tblGrid>
      <w:tr w:rsidR="00034A53" w14:paraId="2576DA52" w14:textId="77777777" w:rsidTr="00034A53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034A53">
        <w:tc>
          <w:tcPr>
            <w:tcW w:w="2963" w:type="dxa"/>
          </w:tcPr>
          <w:p w14:paraId="23EEEE40" w14:textId="444802DB" w:rsidR="00034A53" w:rsidRDefault="00AD528F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Approve February Minutes</w:t>
            </w:r>
          </w:p>
        </w:tc>
        <w:tc>
          <w:tcPr>
            <w:tcW w:w="5474" w:type="dxa"/>
          </w:tcPr>
          <w:p w14:paraId="2036D449" w14:textId="446C10AB" w:rsidR="00034A53" w:rsidRDefault="00AD528F" w:rsidP="00034A53">
            <w:r>
              <w:t>The secretary read the minutes from the meeting that took place in February. The minutes were approved.</w:t>
            </w:r>
          </w:p>
        </w:tc>
        <w:tc>
          <w:tcPr>
            <w:tcW w:w="1613" w:type="dxa"/>
          </w:tcPr>
          <w:p w14:paraId="727AAF7C" w14:textId="04FF1868" w:rsidR="00034A53" w:rsidRDefault="00AD528F" w:rsidP="00034A53">
            <w:r>
              <w:t>Approved</w:t>
            </w:r>
          </w:p>
        </w:tc>
      </w:tr>
      <w:tr w:rsidR="00034A53" w14:paraId="29258321" w14:textId="77777777" w:rsidTr="00034A53">
        <w:tc>
          <w:tcPr>
            <w:tcW w:w="2963" w:type="dxa"/>
          </w:tcPr>
          <w:p w14:paraId="2BEC144E" w14:textId="75E46EBD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1AD3CF9A" w14:textId="577935AE" w:rsidR="00034A53" w:rsidRDefault="00034A53" w:rsidP="00034A53"/>
        </w:tc>
        <w:tc>
          <w:tcPr>
            <w:tcW w:w="1613" w:type="dxa"/>
          </w:tcPr>
          <w:p w14:paraId="4AD00390" w14:textId="77777777" w:rsidR="00034A53" w:rsidRDefault="00034A53" w:rsidP="00034A53"/>
        </w:tc>
      </w:tr>
      <w:tr w:rsidR="00034A53" w14:paraId="7DF1FD92" w14:textId="77777777" w:rsidTr="00034A53">
        <w:tc>
          <w:tcPr>
            <w:tcW w:w="2963" w:type="dxa"/>
          </w:tcPr>
          <w:p w14:paraId="1F245E55" w14:textId="3BA56779" w:rsidR="00034A53" w:rsidRDefault="00034A53" w:rsidP="00034A53">
            <w:pPr>
              <w:pStyle w:val="ListParagraph"/>
            </w:pPr>
          </w:p>
        </w:tc>
        <w:tc>
          <w:tcPr>
            <w:tcW w:w="5474" w:type="dxa"/>
          </w:tcPr>
          <w:p w14:paraId="5143B872" w14:textId="77777777" w:rsidR="00034A53" w:rsidRDefault="00034A53" w:rsidP="00034A53"/>
        </w:tc>
        <w:tc>
          <w:tcPr>
            <w:tcW w:w="1613" w:type="dxa"/>
          </w:tcPr>
          <w:p w14:paraId="2E07D7E3" w14:textId="77777777" w:rsidR="00034A53" w:rsidRDefault="00034A53" w:rsidP="00034A53"/>
        </w:tc>
      </w:tr>
      <w:tr w:rsidR="00034A53" w14:paraId="57059773" w14:textId="77777777" w:rsidTr="00034A53">
        <w:tc>
          <w:tcPr>
            <w:tcW w:w="2963" w:type="dxa"/>
          </w:tcPr>
          <w:p w14:paraId="4799CFA3" w14:textId="600D392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72BF74F5" w14:textId="7655E740" w:rsidR="00034A53" w:rsidRDefault="00034A53" w:rsidP="00034A53"/>
        </w:tc>
        <w:tc>
          <w:tcPr>
            <w:tcW w:w="1613" w:type="dxa"/>
          </w:tcPr>
          <w:p w14:paraId="35F6C58E" w14:textId="5985F772" w:rsidR="00034A53" w:rsidRDefault="00034A53" w:rsidP="0018414C"/>
        </w:tc>
      </w:tr>
      <w:tr w:rsidR="00034A53" w14:paraId="60B5F7D9" w14:textId="77777777" w:rsidTr="00034A53">
        <w:tc>
          <w:tcPr>
            <w:tcW w:w="2963" w:type="dxa"/>
          </w:tcPr>
          <w:p w14:paraId="0C8FFFD5" w14:textId="6118DB62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0B5634D2" w14:textId="77777777" w:rsidR="00034A53" w:rsidRDefault="00034A53" w:rsidP="00034A53"/>
        </w:tc>
        <w:tc>
          <w:tcPr>
            <w:tcW w:w="1613" w:type="dxa"/>
          </w:tcPr>
          <w:p w14:paraId="053516BD" w14:textId="77777777" w:rsidR="00034A53" w:rsidRDefault="00034A53" w:rsidP="00034A53"/>
        </w:tc>
      </w:tr>
      <w:tr w:rsidR="00034A53" w14:paraId="6F6DCBC1" w14:textId="77777777" w:rsidTr="00034A53">
        <w:tc>
          <w:tcPr>
            <w:tcW w:w="296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45CCCD49" w14:textId="77777777" w:rsidR="00034A53" w:rsidRDefault="00034A53" w:rsidP="00034A53"/>
        </w:tc>
        <w:tc>
          <w:tcPr>
            <w:tcW w:w="1613" w:type="dxa"/>
          </w:tcPr>
          <w:p w14:paraId="5CEC4707" w14:textId="77777777" w:rsidR="00034A53" w:rsidRDefault="00034A53" w:rsidP="00034A53"/>
        </w:tc>
      </w:tr>
      <w:tr w:rsidR="00034A53" w14:paraId="42358360" w14:textId="77777777" w:rsidTr="00034A53">
        <w:tc>
          <w:tcPr>
            <w:tcW w:w="296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1D9C67C" w14:textId="77777777" w:rsidR="00034A53" w:rsidRDefault="00034A53" w:rsidP="00034A53"/>
        </w:tc>
        <w:tc>
          <w:tcPr>
            <w:tcW w:w="1613" w:type="dxa"/>
          </w:tcPr>
          <w:p w14:paraId="0AA049A2" w14:textId="77777777" w:rsidR="00034A53" w:rsidRDefault="00034A53" w:rsidP="00034A53"/>
        </w:tc>
      </w:tr>
      <w:tr w:rsidR="00034A53" w14:paraId="0EA97C34" w14:textId="77777777" w:rsidTr="00034A53">
        <w:tc>
          <w:tcPr>
            <w:tcW w:w="296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75CDFEC" w14:textId="77777777" w:rsidR="00034A53" w:rsidRDefault="00034A53" w:rsidP="00034A53"/>
        </w:tc>
        <w:tc>
          <w:tcPr>
            <w:tcW w:w="1613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01AA3BE3" w:rsidR="00F43A42" w:rsidRDefault="00CB565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Certification Template Updates</w:t>
            </w:r>
          </w:p>
        </w:tc>
        <w:tc>
          <w:tcPr>
            <w:tcW w:w="7087" w:type="dxa"/>
          </w:tcPr>
          <w:p w14:paraId="0CA820D7" w14:textId="6612A3A9" w:rsidR="00F43A42" w:rsidRPr="002167BB" w:rsidRDefault="00F8330F" w:rsidP="002167BB">
            <w:r>
              <w:t>West Manor has completed the Certification Template</w:t>
            </w:r>
            <w:r w:rsidR="00FD2910">
              <w:t xml:space="preserve"> </w:t>
            </w:r>
            <w:r>
              <w:t xml:space="preserve">with the information that was provided.  Some members did not want their personal information available for the public so they did not provide it. </w:t>
            </w:r>
          </w:p>
        </w:tc>
      </w:tr>
      <w:tr w:rsidR="00F43A42" w14:paraId="41F92708" w14:textId="77777777" w:rsidTr="005A2C84">
        <w:tc>
          <w:tcPr>
            <w:tcW w:w="2963" w:type="dxa"/>
          </w:tcPr>
          <w:p w14:paraId="173C4AAE" w14:textId="5C38A700" w:rsidR="00F43A42" w:rsidRDefault="009C21FA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Next Meeting Date</w:t>
            </w:r>
          </w:p>
        </w:tc>
        <w:tc>
          <w:tcPr>
            <w:tcW w:w="7087" w:type="dxa"/>
          </w:tcPr>
          <w:p w14:paraId="3242A678" w14:textId="7C57425F" w:rsidR="00F43A42" w:rsidRPr="002167BB" w:rsidRDefault="009C21FA" w:rsidP="00AB42BD">
            <w:r>
              <w:t>The next meeting date will be August 22, 2017</w:t>
            </w:r>
          </w:p>
        </w:tc>
      </w:tr>
      <w:tr w:rsidR="00F43A42" w14:paraId="3EA5D247" w14:textId="77777777" w:rsidTr="00662205">
        <w:tc>
          <w:tcPr>
            <w:tcW w:w="2963" w:type="dxa"/>
          </w:tcPr>
          <w:p w14:paraId="599F2CC7" w14:textId="2DBD84CB" w:rsidR="00F43A42" w:rsidRDefault="009C21FA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Agenda Items for Next Meeting</w:t>
            </w:r>
          </w:p>
        </w:tc>
        <w:tc>
          <w:tcPr>
            <w:tcW w:w="7087" w:type="dxa"/>
          </w:tcPr>
          <w:p w14:paraId="05844709" w14:textId="741D8460" w:rsidR="00F43A42" w:rsidRDefault="009C21FA" w:rsidP="00E270A9">
            <w:r>
              <w:t>The following items will be on the agenda for the next meeting: Strategic Planning, Staffing, CCRPI Scores and meeting dates for three months</w:t>
            </w:r>
            <w:r w:rsidR="00FD2910">
              <w:t>.</w:t>
            </w:r>
          </w:p>
        </w:tc>
      </w:tr>
      <w:tr w:rsidR="00F43A42" w14:paraId="5B09E0B2" w14:textId="77777777" w:rsidTr="00C176A4">
        <w:tc>
          <w:tcPr>
            <w:tcW w:w="2963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75A1CB87" w14:textId="77777777" w:rsidR="00F43A42" w:rsidRDefault="00F43A42" w:rsidP="00E270A9"/>
        </w:tc>
      </w:tr>
      <w:tr w:rsidR="00F43A42" w14:paraId="78E2B4B5" w14:textId="77777777" w:rsidTr="00370B14">
        <w:tc>
          <w:tcPr>
            <w:tcW w:w="2963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424A2683" w:rsidR="00F43A42" w:rsidRDefault="00216A6C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Austerity Funds 2017</w:t>
            </w:r>
          </w:p>
        </w:tc>
        <w:tc>
          <w:tcPr>
            <w:tcW w:w="7087" w:type="dxa"/>
          </w:tcPr>
          <w:p w14:paraId="1F6F6164" w14:textId="31B44156" w:rsidR="00F43A42" w:rsidRDefault="00216A6C" w:rsidP="00C653AB">
            <w:r>
              <w:t>These funds will be used for materials and supplies and additional technology resources that students can use at school and home.</w:t>
            </w:r>
          </w:p>
        </w:tc>
      </w:tr>
      <w:tr w:rsidR="00F43A42" w14:paraId="11F95C7F" w14:textId="77777777" w:rsidTr="00C21B85">
        <w:tc>
          <w:tcPr>
            <w:tcW w:w="2963" w:type="dxa"/>
          </w:tcPr>
          <w:p w14:paraId="58FC643B" w14:textId="6B3B6099" w:rsidR="00F43A42" w:rsidRDefault="00216A6C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Title I Status</w:t>
            </w:r>
          </w:p>
        </w:tc>
        <w:tc>
          <w:tcPr>
            <w:tcW w:w="7087" w:type="dxa"/>
          </w:tcPr>
          <w:p w14:paraId="7AE3D899" w14:textId="2B6C4BFD" w:rsidR="00F43A42" w:rsidRDefault="00216A6C" w:rsidP="00FD2910">
            <w:r>
              <w:t>West Manor received the award for being a Title I Distinguished school</w:t>
            </w:r>
            <w:r w:rsidR="00FD2910">
              <w:t>. The school has received this distinguished recognition for four years in a row.</w:t>
            </w:r>
          </w:p>
        </w:tc>
      </w:tr>
      <w:tr w:rsidR="00F43A42" w14:paraId="67E8453E" w14:textId="77777777" w:rsidTr="003D2DFA">
        <w:tc>
          <w:tcPr>
            <w:tcW w:w="2963" w:type="dxa"/>
          </w:tcPr>
          <w:p w14:paraId="265E31CE" w14:textId="62C06C43" w:rsidR="00F43A42" w:rsidRDefault="00CB565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Summer School Dates/Location</w:t>
            </w:r>
          </w:p>
        </w:tc>
        <w:tc>
          <w:tcPr>
            <w:tcW w:w="7087" w:type="dxa"/>
          </w:tcPr>
          <w:p w14:paraId="2D8BD146" w14:textId="69E182C3" w:rsidR="00F43A42" w:rsidRDefault="00CB5652" w:rsidP="00E270A9">
            <w:r>
              <w:t>Students at West Manor will attend summer school at Cascade from June 5-June 29</w:t>
            </w:r>
            <w:r w:rsidR="00B10FF6">
              <w:t>.</w:t>
            </w:r>
          </w:p>
        </w:tc>
      </w:tr>
      <w:tr w:rsidR="00F43A42" w14:paraId="61B6BDD3" w14:textId="77777777" w:rsidTr="00346BD3">
        <w:tc>
          <w:tcPr>
            <w:tcW w:w="2963" w:type="dxa"/>
          </w:tcPr>
          <w:p w14:paraId="54B53B0E" w14:textId="6B323C48" w:rsidR="00F43A42" w:rsidRDefault="00CB565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Enrollment Merger/Registra-tion for 2017-2018</w:t>
            </w:r>
          </w:p>
        </w:tc>
        <w:tc>
          <w:tcPr>
            <w:tcW w:w="7087" w:type="dxa"/>
          </w:tcPr>
          <w:p w14:paraId="7ECB8B95" w14:textId="68460F28" w:rsidR="00F43A42" w:rsidRDefault="00CB5652" w:rsidP="00E4425B">
            <w:r>
              <w:t>West Manor’s projected enrollment for the 2017-2018 school is 315 students which will put the school at 95% capacity. Ms. Fitch, the secretary has started registering students from Adamsville.</w:t>
            </w:r>
          </w:p>
        </w:tc>
      </w:tr>
      <w:tr w:rsidR="00F43A42" w14:paraId="146C9732" w14:textId="77777777" w:rsidTr="009F1052">
        <w:tc>
          <w:tcPr>
            <w:tcW w:w="2963" w:type="dxa"/>
          </w:tcPr>
          <w:p w14:paraId="3A9D3AAB" w14:textId="695D1650" w:rsidR="00F43A42" w:rsidRDefault="00CB565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IB Updates 2017-2018</w:t>
            </w:r>
          </w:p>
        </w:tc>
        <w:tc>
          <w:tcPr>
            <w:tcW w:w="7087" w:type="dxa"/>
          </w:tcPr>
          <w:p w14:paraId="0C5ADA12" w14:textId="711B2AA8" w:rsidR="00F43A42" w:rsidRDefault="00CB5652" w:rsidP="00E270A9">
            <w:r>
              <w:t xml:space="preserve">Five staff members are going to training this summer which will put West Manor at 75% </w:t>
            </w:r>
            <w:r w:rsidR="00B10FF6">
              <w:t xml:space="preserve">complete </w:t>
            </w:r>
            <w:r>
              <w:t>with 25 % left to be trained during the fall of 2017-2018</w:t>
            </w:r>
            <w:r w:rsidR="00B10FF6">
              <w:t xml:space="preserve">.  The IB consultant will come to visit the school November 6 and 7.  </w:t>
            </w:r>
            <w:r w:rsidR="00F8330F">
              <w:t>The IB funds were used for technology and instructional supplies.</w:t>
            </w:r>
          </w:p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5EE59FAD" w:rsidR="00F43A42" w:rsidRDefault="00B63D8C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Meet and Greet</w:t>
            </w:r>
          </w:p>
        </w:tc>
        <w:tc>
          <w:tcPr>
            <w:tcW w:w="7087" w:type="dxa"/>
          </w:tcPr>
          <w:p w14:paraId="05E2A130" w14:textId="2A74B844" w:rsidR="00F43A42" w:rsidRDefault="00B63D8C" w:rsidP="00506D97">
            <w:r>
              <w:t xml:space="preserve">West Manor is hosting a Meet and Greet for the incoming Adamsville parents. The new parents will have the opportunity to meet teachers, staff and </w:t>
            </w:r>
            <w:r w:rsidR="00CB5652">
              <w:t xml:space="preserve">other </w:t>
            </w:r>
            <w:r>
              <w:t>parents of West Manor.</w:t>
            </w:r>
            <w:r w:rsidR="00CB5652">
              <w:t xml:space="preserve"> This will </w:t>
            </w:r>
            <w:r w:rsidR="00CB5652">
              <w:lastRenderedPageBreak/>
              <w:t>take place on May 16, 2017at 6pm.</w:t>
            </w:r>
          </w:p>
        </w:tc>
      </w:tr>
      <w:tr w:rsidR="00F43A42" w14:paraId="2AFB919B" w14:textId="77777777" w:rsidTr="00C84ABC">
        <w:tc>
          <w:tcPr>
            <w:tcW w:w="2963" w:type="dxa"/>
          </w:tcPr>
          <w:p w14:paraId="748ABA1E" w14:textId="5B1F4D5D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37E36DE4" w14:textId="3ED50311" w:rsidR="00F43A42" w:rsidRDefault="00F43A42" w:rsidP="00B620D2"/>
        </w:tc>
      </w:tr>
      <w:tr w:rsidR="00F43A42" w14:paraId="5BE861F8" w14:textId="77777777" w:rsidTr="0021567E">
        <w:tc>
          <w:tcPr>
            <w:tcW w:w="2963" w:type="dxa"/>
          </w:tcPr>
          <w:p w14:paraId="100DAF9E" w14:textId="31409FE2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2537774C" w14:textId="17426284" w:rsidR="00F43A42" w:rsidRDefault="00F43A42" w:rsidP="00E270A9"/>
        </w:tc>
      </w:tr>
      <w:tr w:rsidR="00F43A42" w14:paraId="7CFB66C1" w14:textId="77777777" w:rsidTr="001A0503">
        <w:tc>
          <w:tcPr>
            <w:tcW w:w="2963" w:type="dxa"/>
          </w:tcPr>
          <w:p w14:paraId="7D034C3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0D2C7118" w14:textId="77777777" w:rsidR="00F43A42" w:rsidRDefault="00F43A42" w:rsidP="00E270A9"/>
        </w:tc>
      </w:tr>
      <w:tr w:rsidR="00F43A42" w14:paraId="40B0949A" w14:textId="77777777" w:rsidTr="00327EE7">
        <w:tc>
          <w:tcPr>
            <w:tcW w:w="2963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6018FDF2" w:rsidR="00F43A42" w:rsidRDefault="00F43A42" w:rsidP="00F43A42">
                            <w:r>
                              <w:t xml:space="preserve">Meeting was adjourned </w:t>
                            </w:r>
                            <w:r w:rsidR="00216A6C">
                              <w:t>at 5</w:t>
                            </w:r>
                            <w:r w:rsidR="00506D97">
                              <w:t>:45</w:t>
                            </w:r>
                            <w:r w:rsidR="003E5292">
                              <w:t>pm</w:t>
                            </w:r>
                            <w:r w:rsidR="00506D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6018FDF2" w:rsidR="00F43A42" w:rsidRDefault="00F43A42" w:rsidP="00F43A42">
                      <w:r>
                        <w:t xml:space="preserve">Meeting was adjourned </w:t>
                      </w:r>
                      <w:r w:rsidR="00216A6C">
                        <w:t xml:space="preserve">at </w:t>
                      </w:r>
                      <w:r w:rsidR="00216A6C">
                        <w:t>5</w:t>
                      </w:r>
                      <w:r w:rsidR="00506D97">
                        <w:t>:45</w:t>
                      </w:r>
                      <w:r w:rsidR="003E5292">
                        <w:t>pm</w:t>
                      </w:r>
                      <w:bookmarkStart w:id="1" w:name="_GoBack"/>
                      <w:bookmarkEnd w:id="1"/>
                      <w:r w:rsidR="00506D97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9FAC2" w14:textId="77777777" w:rsidR="007F530D" w:rsidRDefault="007F530D">
      <w:pPr>
        <w:spacing w:before="0" w:after="0" w:line="240" w:lineRule="auto"/>
      </w:pPr>
      <w:r>
        <w:separator/>
      </w:r>
    </w:p>
  </w:endnote>
  <w:endnote w:type="continuationSeparator" w:id="0">
    <w:p w14:paraId="64794C19" w14:textId="77777777" w:rsidR="007F530D" w:rsidRDefault="007F53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001F9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CF900" w14:textId="77777777" w:rsidR="007F530D" w:rsidRDefault="007F530D">
      <w:pPr>
        <w:spacing w:before="0" w:after="0" w:line="240" w:lineRule="auto"/>
      </w:pPr>
      <w:r>
        <w:separator/>
      </w:r>
    </w:p>
  </w:footnote>
  <w:footnote w:type="continuationSeparator" w:id="0">
    <w:p w14:paraId="7F3DA331" w14:textId="77777777" w:rsidR="007F530D" w:rsidRDefault="007F53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001F9"/>
    <w:rsid w:val="00023D7D"/>
    <w:rsid w:val="00034A53"/>
    <w:rsid w:val="00086E25"/>
    <w:rsid w:val="000924A9"/>
    <w:rsid w:val="000A785F"/>
    <w:rsid w:val="000B0445"/>
    <w:rsid w:val="000B6751"/>
    <w:rsid w:val="000D5646"/>
    <w:rsid w:val="000E01BA"/>
    <w:rsid w:val="0010796E"/>
    <w:rsid w:val="00116AA3"/>
    <w:rsid w:val="00161C1D"/>
    <w:rsid w:val="0018414C"/>
    <w:rsid w:val="00191D9B"/>
    <w:rsid w:val="002167BB"/>
    <w:rsid w:val="00216A6C"/>
    <w:rsid w:val="002249BF"/>
    <w:rsid w:val="00293787"/>
    <w:rsid w:val="002F333D"/>
    <w:rsid w:val="00303412"/>
    <w:rsid w:val="0031504F"/>
    <w:rsid w:val="003D76B4"/>
    <w:rsid w:val="003E5292"/>
    <w:rsid w:val="003E70E8"/>
    <w:rsid w:val="00416FE2"/>
    <w:rsid w:val="0049389A"/>
    <w:rsid w:val="004C5B9C"/>
    <w:rsid w:val="00506D97"/>
    <w:rsid w:val="0052730C"/>
    <w:rsid w:val="005A42C0"/>
    <w:rsid w:val="005D6547"/>
    <w:rsid w:val="00657330"/>
    <w:rsid w:val="00676983"/>
    <w:rsid w:val="00684873"/>
    <w:rsid w:val="006A5F24"/>
    <w:rsid w:val="006F2825"/>
    <w:rsid w:val="00727D98"/>
    <w:rsid w:val="007467AC"/>
    <w:rsid w:val="00763FE9"/>
    <w:rsid w:val="007674FF"/>
    <w:rsid w:val="00792AFB"/>
    <w:rsid w:val="007D62FF"/>
    <w:rsid w:val="007D7B41"/>
    <w:rsid w:val="007E5DFD"/>
    <w:rsid w:val="007F530D"/>
    <w:rsid w:val="0085046B"/>
    <w:rsid w:val="008A3080"/>
    <w:rsid w:val="008C44EB"/>
    <w:rsid w:val="008C622E"/>
    <w:rsid w:val="008E5C45"/>
    <w:rsid w:val="00905F1A"/>
    <w:rsid w:val="00932D19"/>
    <w:rsid w:val="0096368A"/>
    <w:rsid w:val="00991EDC"/>
    <w:rsid w:val="009A0916"/>
    <w:rsid w:val="009C21FA"/>
    <w:rsid w:val="009C7E6A"/>
    <w:rsid w:val="009F3D60"/>
    <w:rsid w:val="00A12B40"/>
    <w:rsid w:val="00A23823"/>
    <w:rsid w:val="00A61E71"/>
    <w:rsid w:val="00A710B7"/>
    <w:rsid w:val="00AB22DE"/>
    <w:rsid w:val="00AB3CD0"/>
    <w:rsid w:val="00AB42BD"/>
    <w:rsid w:val="00AD528F"/>
    <w:rsid w:val="00AF1CF9"/>
    <w:rsid w:val="00B10FF6"/>
    <w:rsid w:val="00B620D2"/>
    <w:rsid w:val="00B63D8C"/>
    <w:rsid w:val="00B84998"/>
    <w:rsid w:val="00BF29B2"/>
    <w:rsid w:val="00C25FCF"/>
    <w:rsid w:val="00C43059"/>
    <w:rsid w:val="00C653AB"/>
    <w:rsid w:val="00CB5652"/>
    <w:rsid w:val="00CB6212"/>
    <w:rsid w:val="00D17317"/>
    <w:rsid w:val="00D201C6"/>
    <w:rsid w:val="00D32A6D"/>
    <w:rsid w:val="00D351AF"/>
    <w:rsid w:val="00D5348B"/>
    <w:rsid w:val="00D53BCD"/>
    <w:rsid w:val="00D57E4D"/>
    <w:rsid w:val="00D65096"/>
    <w:rsid w:val="00D7614D"/>
    <w:rsid w:val="00E16DEA"/>
    <w:rsid w:val="00E4425B"/>
    <w:rsid w:val="00E62836"/>
    <w:rsid w:val="00E90086"/>
    <w:rsid w:val="00EB07C6"/>
    <w:rsid w:val="00EC700A"/>
    <w:rsid w:val="00ED3A00"/>
    <w:rsid w:val="00F05A15"/>
    <w:rsid w:val="00F259D5"/>
    <w:rsid w:val="00F40F66"/>
    <w:rsid w:val="00F43A42"/>
    <w:rsid w:val="00F8330F"/>
    <w:rsid w:val="00F958B1"/>
    <w:rsid w:val="00FC2F74"/>
    <w:rsid w:val="00FD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18BDAA-3CD6-4297-BFA1-00ADCA94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Whitaker-Graham, Jennifer</cp:lastModifiedBy>
  <cp:revision>2</cp:revision>
  <cp:lastPrinted>2017-05-11T18:40:00Z</cp:lastPrinted>
  <dcterms:created xsi:type="dcterms:W3CDTF">2017-05-11T18:41:00Z</dcterms:created>
  <dcterms:modified xsi:type="dcterms:W3CDTF">2017-05-11T18:41:00Z</dcterms:modified>
</cp:coreProperties>
</file>